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Theme="majorEastAsia" w:hAnsiTheme="majorEastAsia" w:eastAsiaTheme="majorEastAsia" w:cstheme="majorEastAsia"/>
          <w:b/>
          <w:bCs/>
          <w:sz w:val="36"/>
          <w:szCs w:val="36"/>
          <w:highlight w:val="none"/>
        </w:rPr>
      </w:pPr>
      <w:r>
        <w:rPr>
          <w:rFonts w:hint="eastAsia" w:asciiTheme="majorEastAsia" w:hAnsiTheme="majorEastAsia" w:eastAsiaTheme="majorEastAsia" w:cstheme="majorEastAsia"/>
          <w:b/>
          <w:bCs/>
          <w:sz w:val="36"/>
          <w:szCs w:val="36"/>
          <w:highlight w:val="none"/>
        </w:rPr>
        <w:t>项目支出绩效自评表</w:t>
      </w:r>
    </w:p>
    <w:p>
      <w:pPr>
        <w:spacing w:line="480" w:lineRule="exact"/>
        <w:rPr>
          <w:rFonts w:ascii="仿宋_GB2312" w:hAnsi="宋体" w:eastAsia="仿宋_GB2312"/>
          <w:sz w:val="28"/>
          <w:szCs w:val="28"/>
          <w:highlight w:val="none"/>
        </w:rPr>
      </w:pPr>
      <w:r>
        <w:rPr>
          <w:rFonts w:hint="eastAsia" w:ascii="仿宋_GB2312" w:eastAsia="仿宋_GB2312"/>
          <w:sz w:val="28"/>
          <w:szCs w:val="28"/>
          <w:highlight w:val="none"/>
        </w:rPr>
        <w:t xml:space="preserve">                   </w:t>
      </w:r>
      <w:r>
        <w:rPr>
          <w:rFonts w:ascii="仿宋_GB2312" w:eastAsia="仿宋_GB2312"/>
          <w:sz w:val="28"/>
          <w:szCs w:val="28"/>
          <w:highlight w:val="none"/>
        </w:rPr>
        <w:t xml:space="preserve">  </w:t>
      </w:r>
      <w:r>
        <w:rPr>
          <w:rFonts w:hint="eastAsia" w:ascii="仿宋_GB2312" w:hAnsi="宋体" w:eastAsia="仿宋_GB2312"/>
          <w:sz w:val="28"/>
          <w:szCs w:val="28"/>
          <w:highlight w:val="none"/>
        </w:rPr>
        <w:t xml:space="preserve"> </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（202</w:t>
      </w:r>
      <w:r>
        <w:rPr>
          <w:rFonts w:hint="eastAsia" w:ascii="仿宋_GB2312" w:hAnsi="宋体" w:eastAsia="仿宋_GB2312"/>
          <w:sz w:val="28"/>
          <w:szCs w:val="28"/>
          <w:highlight w:val="none"/>
          <w:lang w:val="en-US" w:eastAsia="zh-CN"/>
        </w:rPr>
        <w:t>3</w:t>
      </w:r>
      <w:r>
        <w:rPr>
          <w:rFonts w:hint="eastAsia" w:ascii="仿宋_GB2312" w:hAnsi="宋体" w:eastAsia="仿宋_GB2312"/>
          <w:sz w:val="28"/>
          <w:szCs w:val="28"/>
          <w:highlight w:val="none"/>
        </w:rPr>
        <w:t>年度）</w:t>
      </w:r>
    </w:p>
    <w:p>
      <w:pPr>
        <w:spacing w:line="240" w:lineRule="exact"/>
        <w:rPr>
          <w:rFonts w:ascii="仿宋_GB2312" w:hAnsi="宋体" w:eastAsia="仿宋_GB2312"/>
          <w:sz w:val="30"/>
          <w:szCs w:val="30"/>
          <w:highlight w:val="none"/>
        </w:rPr>
      </w:pPr>
    </w:p>
    <w:tbl>
      <w:tblPr>
        <w:tblStyle w:val="5"/>
        <w:tblW w:w="9105"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338"/>
        <w:gridCol w:w="508"/>
        <w:gridCol w:w="777"/>
      </w:tblGrid>
      <w:tr>
        <w:tblPrEx>
          <w:tblCellMar>
            <w:top w:w="0" w:type="dxa"/>
            <w:left w:w="108" w:type="dxa"/>
            <w:bottom w:w="0" w:type="dxa"/>
            <w:right w:w="108" w:type="dxa"/>
          </w:tblCellMar>
        </w:tblPrEx>
        <w:trPr>
          <w:trHeight w:val="441"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项目名称</w:t>
            </w:r>
          </w:p>
        </w:tc>
        <w:tc>
          <w:tcPr>
            <w:tcW w:w="7545"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bookmarkStart w:id="0" w:name="_GoBack"/>
            <w:bookmarkEnd w:id="0"/>
            <w:r>
              <w:rPr>
                <w:rFonts w:hint="eastAsia" w:ascii="仿宋_GB2312" w:hAnsi="宋体" w:eastAsia="仿宋_GB2312" w:cs="宋体"/>
                <w:kern w:val="0"/>
                <w:szCs w:val="21"/>
                <w:highlight w:val="none"/>
                <w:lang w:val="en-US" w:eastAsia="zh-CN"/>
              </w:rPr>
              <w:t>地震信息网络通讯类项目</w:t>
            </w:r>
          </w:p>
        </w:tc>
      </w:tr>
      <w:tr>
        <w:tblPrEx>
          <w:tblCellMar>
            <w:top w:w="0" w:type="dxa"/>
            <w:left w:w="108" w:type="dxa"/>
            <w:bottom w:w="0" w:type="dxa"/>
            <w:right w:w="108" w:type="dxa"/>
          </w:tblCellMar>
        </w:tblPrEx>
        <w:trPr>
          <w:trHeight w:val="630"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北京市地震局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实施单位</w:t>
            </w:r>
          </w:p>
        </w:tc>
        <w:tc>
          <w:tcPr>
            <w:tcW w:w="232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北京市地震局</w:t>
            </w:r>
          </w:p>
        </w:tc>
      </w:tr>
      <w:tr>
        <w:tblPrEx>
          <w:tblCellMar>
            <w:top w:w="0" w:type="dxa"/>
            <w:left w:w="108" w:type="dxa"/>
            <w:bottom w:w="0" w:type="dxa"/>
            <w:right w:w="108" w:type="dxa"/>
          </w:tblCellMar>
        </w:tblPrEx>
        <w:trPr>
          <w:trHeight w:val="562"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 w:eastAsia="zh-CN"/>
              </w:rPr>
            </w:pPr>
            <w:r>
              <w:rPr>
                <w:rFonts w:hint="eastAsia" w:ascii="仿宋_GB2312" w:hAnsi="宋体" w:eastAsia="仿宋_GB2312" w:cs="宋体"/>
                <w:kern w:val="0"/>
                <w:szCs w:val="21"/>
                <w:highlight w:val="none"/>
                <w:lang w:val="en" w:eastAsia="zh-CN"/>
              </w:rPr>
              <w:t>阎婷</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联系电话</w:t>
            </w:r>
          </w:p>
        </w:tc>
        <w:tc>
          <w:tcPr>
            <w:tcW w:w="232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color w:val="000000" w:themeColor="text1"/>
                <w:kern w:val="0"/>
                <w:szCs w:val="21"/>
                <w:highlight w:val="none"/>
                <w14:textFill>
                  <w14:solidFill>
                    <w14:schemeClr w14:val="tx1"/>
                  </w14:solidFill>
                </w14:textFill>
              </w:rPr>
              <w:t>83012202</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项目资金</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年初预</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全年预</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全年</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执行率</w:t>
            </w:r>
          </w:p>
        </w:tc>
        <w:tc>
          <w:tcPr>
            <w:tcW w:w="77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得分</w:t>
            </w:r>
          </w:p>
        </w:tc>
      </w:tr>
      <w:tr>
        <w:tblPrEx>
          <w:tblCellMar>
            <w:top w:w="0" w:type="dxa"/>
            <w:left w:w="108" w:type="dxa"/>
            <w:bottom w:w="0" w:type="dxa"/>
            <w:right w:w="108" w:type="dxa"/>
          </w:tblCellMar>
        </w:tblPrEx>
        <w:trPr>
          <w:trHeight w:val="63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168.23</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167.1</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167.1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100%</w:t>
            </w:r>
          </w:p>
        </w:tc>
        <w:tc>
          <w:tcPr>
            <w:tcW w:w="77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其中：当年财政</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168.23</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167.1</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167.1</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100%</w:t>
            </w:r>
          </w:p>
        </w:tc>
        <w:tc>
          <w:tcPr>
            <w:tcW w:w="77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77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77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预期目标</w:t>
            </w:r>
          </w:p>
        </w:tc>
        <w:tc>
          <w:tcPr>
            <w:tcW w:w="345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实现404个监测站以专线（有线、无线）方式接入市地震局地震信息网络平台，保证地震监测预警、预测预报、风险探查、地震应急等系统的有效运行；</w:t>
            </w:r>
          </w:p>
        </w:tc>
        <w:tc>
          <w:tcPr>
            <w:tcW w:w="345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实现404个监测站以专线（有线、无线）方式接入市地震局地震信息网络平台，保证地震监测预警、预测预报、风险探查、地震应急等系统的有效运行；</w:t>
            </w:r>
          </w:p>
        </w:tc>
      </w:tr>
      <w:tr>
        <w:tblPrEx>
          <w:tblCellMar>
            <w:top w:w="0" w:type="dxa"/>
            <w:left w:w="108" w:type="dxa"/>
            <w:bottom w:w="0" w:type="dxa"/>
            <w:right w:w="108" w:type="dxa"/>
          </w:tblCellMar>
        </w:tblPrEx>
        <w:trPr>
          <w:trHeight w:val="1335"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绩</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效</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指</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三级指标</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（按照绩效目标表里的绩效指标进行填写）</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年度</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实际</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分值</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得分</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偏差原因分析及改进</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措施</w:t>
            </w:r>
          </w:p>
        </w:tc>
      </w:tr>
      <w:tr>
        <w:tblPrEx>
          <w:tblCellMar>
            <w:top w:w="0" w:type="dxa"/>
            <w:left w:w="108" w:type="dxa"/>
            <w:bottom w:w="0" w:type="dxa"/>
            <w:right w:w="108" w:type="dxa"/>
          </w:tblCellMar>
        </w:tblPrEx>
        <w:trPr>
          <w:trHeight w:val="62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产出指标（50分）</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带宽1000Mbps光纤专线</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 w:eastAsia="zh-CN"/>
              </w:rPr>
            </w:pPr>
            <w:r>
              <w:rPr>
                <w:rFonts w:hint="default" w:ascii="仿宋_GB2312" w:hAnsi="宋体" w:eastAsia="仿宋_GB2312" w:cs="宋体"/>
                <w:kern w:val="0"/>
                <w:szCs w:val="21"/>
                <w:highlight w:val="none"/>
                <w:lang w:val="en"/>
              </w:rPr>
              <w:t>1</w:t>
            </w:r>
            <w:r>
              <w:rPr>
                <w:rFonts w:hint="eastAsia" w:ascii="仿宋_GB2312" w:hAnsi="宋体" w:eastAsia="仿宋_GB2312" w:cs="宋体"/>
                <w:kern w:val="0"/>
                <w:szCs w:val="21"/>
                <w:highlight w:val="none"/>
                <w:lang w:val="en-US" w:eastAsia="zh-CN"/>
              </w:rPr>
              <w:t>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lang w:val="en-US" w:eastAsia="zh-CN"/>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58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带宽100Mbps光纤专线</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
              </w:rPr>
            </w:pPr>
            <w:r>
              <w:rPr>
                <w:rFonts w:hint="default" w:ascii="仿宋_GB2312" w:hAnsi="宋体" w:eastAsia="仿宋_GB2312" w:cs="宋体"/>
                <w:kern w:val="0"/>
                <w:szCs w:val="21"/>
                <w:highlight w:val="none"/>
                <w:lang w:val="en"/>
              </w:rPr>
              <w:t>1</w:t>
            </w:r>
            <w:r>
              <w:rPr>
                <w:rFonts w:hint="eastAsia" w:ascii="仿宋_GB2312" w:hAnsi="宋体" w:eastAsia="仿宋_GB2312" w:cs="宋体"/>
                <w:kern w:val="0"/>
                <w:szCs w:val="21"/>
                <w:highlight w:val="none"/>
                <w:lang w:val="en-US" w:eastAsia="zh-CN"/>
              </w:rPr>
              <w:t>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 w:eastAsia="zh-CN" w:bidi="ar-SA"/>
              </w:rPr>
            </w:pPr>
            <w:r>
              <w:rPr>
                <w:rFonts w:hint="default" w:ascii="仿宋_GB2312" w:hAnsi="宋体" w:eastAsia="仿宋_GB2312" w:cs="宋体"/>
                <w:kern w:val="0"/>
                <w:szCs w:val="21"/>
                <w:highlight w:val="none"/>
                <w:lang w:val="en"/>
              </w:rPr>
              <w:t>1</w:t>
            </w:r>
            <w:r>
              <w:rPr>
                <w:rFonts w:hint="eastAsia" w:ascii="仿宋_GB2312" w:hAnsi="宋体" w:eastAsia="仿宋_GB2312" w:cs="宋体"/>
                <w:kern w:val="0"/>
                <w:szCs w:val="21"/>
                <w:highlight w:val="none"/>
                <w:lang w:val="en-US" w:eastAsia="zh-CN"/>
              </w:rPr>
              <w:t>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lang w:val="en-US" w:eastAsia="zh-CN"/>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49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带宽10Mbps光纤专线</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
              </w:rPr>
            </w:pPr>
            <w:r>
              <w:rPr>
                <w:rFonts w:hint="default" w:ascii="仿宋_GB2312" w:hAnsi="宋体" w:eastAsia="仿宋_GB2312" w:cs="宋体"/>
                <w:kern w:val="0"/>
                <w:szCs w:val="21"/>
                <w:highlight w:val="none"/>
                <w:lang w:val="en"/>
              </w:rPr>
              <w:t>10</w:t>
            </w:r>
            <w:r>
              <w:rPr>
                <w:rFonts w:hint="eastAsia" w:ascii="仿宋_GB2312" w:hAnsi="宋体" w:eastAsia="仿宋_GB2312" w:cs="宋体"/>
                <w:kern w:val="0"/>
                <w:szCs w:val="21"/>
                <w:highlight w:val="none"/>
                <w:lang w:val="en-US" w:eastAsia="zh-CN"/>
              </w:rPr>
              <w:t>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 w:eastAsia="zh-CN" w:bidi="ar-SA"/>
              </w:rPr>
            </w:pPr>
            <w:r>
              <w:rPr>
                <w:rFonts w:hint="default" w:ascii="仿宋_GB2312" w:hAnsi="宋体" w:eastAsia="仿宋_GB2312" w:cs="宋体"/>
                <w:kern w:val="0"/>
                <w:szCs w:val="21"/>
                <w:highlight w:val="none"/>
                <w:lang w:val="en"/>
              </w:rPr>
              <w:t>10</w:t>
            </w:r>
            <w:r>
              <w:rPr>
                <w:rFonts w:hint="eastAsia" w:ascii="仿宋_GB2312" w:hAnsi="宋体" w:eastAsia="仿宋_GB2312" w:cs="宋体"/>
                <w:kern w:val="0"/>
                <w:szCs w:val="21"/>
                <w:highlight w:val="none"/>
                <w:lang w:val="en-US" w:eastAsia="zh-CN"/>
              </w:rPr>
              <w:t>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lang w:val="en-US" w:eastAsia="zh-CN"/>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60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带宽2Mbps光纤专线</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
              </w:rPr>
            </w:pPr>
            <w:r>
              <w:rPr>
                <w:rFonts w:hint="default" w:ascii="仿宋_GB2312" w:hAnsi="宋体" w:eastAsia="仿宋_GB2312" w:cs="宋体"/>
                <w:kern w:val="0"/>
                <w:szCs w:val="21"/>
                <w:highlight w:val="none"/>
                <w:lang w:val="en"/>
              </w:rPr>
              <w:t>92</w:t>
            </w:r>
            <w:r>
              <w:rPr>
                <w:rFonts w:hint="eastAsia" w:ascii="仿宋_GB2312" w:hAnsi="宋体" w:eastAsia="仿宋_GB2312" w:cs="宋体"/>
                <w:kern w:val="0"/>
                <w:szCs w:val="21"/>
                <w:highlight w:val="none"/>
                <w:lang w:val="en-US" w:eastAsia="zh-CN"/>
              </w:rPr>
              <w:t>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 w:eastAsia="zh-CN" w:bidi="ar-SA"/>
              </w:rPr>
            </w:pPr>
            <w:r>
              <w:rPr>
                <w:rFonts w:hint="default" w:ascii="仿宋_GB2312" w:hAnsi="宋体" w:eastAsia="仿宋_GB2312" w:cs="宋体"/>
                <w:kern w:val="0"/>
                <w:szCs w:val="21"/>
                <w:highlight w:val="none"/>
                <w:lang w:val="en"/>
              </w:rPr>
              <w:t>92</w:t>
            </w:r>
            <w:r>
              <w:rPr>
                <w:rFonts w:hint="eastAsia" w:ascii="仿宋_GB2312" w:hAnsi="宋体" w:eastAsia="仿宋_GB2312" w:cs="宋体"/>
                <w:kern w:val="0"/>
                <w:szCs w:val="21"/>
                <w:highlight w:val="none"/>
                <w:lang w:val="en-US" w:eastAsia="zh-CN"/>
              </w:rPr>
              <w:t>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lang w:val="en-US" w:eastAsia="zh-CN"/>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45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无线</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
              </w:rPr>
            </w:pPr>
            <w:r>
              <w:rPr>
                <w:rFonts w:hint="default" w:ascii="仿宋_GB2312" w:hAnsi="宋体" w:eastAsia="仿宋_GB2312" w:cs="宋体"/>
                <w:kern w:val="0"/>
                <w:szCs w:val="21"/>
                <w:highlight w:val="none"/>
                <w:lang w:val="en"/>
              </w:rPr>
              <w:t>226</w:t>
            </w:r>
            <w:r>
              <w:rPr>
                <w:rFonts w:hint="eastAsia" w:ascii="仿宋_GB2312" w:hAnsi="宋体" w:eastAsia="仿宋_GB2312" w:cs="宋体"/>
                <w:kern w:val="0"/>
                <w:szCs w:val="21"/>
                <w:highlight w:val="none"/>
                <w:lang w:val="en-US" w:eastAsia="zh-CN"/>
              </w:rPr>
              <w:t>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highlight w:val="none"/>
                <w:lang w:val="en" w:eastAsia="zh-CN" w:bidi="ar-SA"/>
              </w:rPr>
            </w:pPr>
            <w:r>
              <w:rPr>
                <w:rFonts w:hint="default" w:ascii="仿宋_GB2312" w:hAnsi="宋体" w:eastAsia="仿宋_GB2312" w:cs="宋体"/>
                <w:kern w:val="0"/>
                <w:szCs w:val="21"/>
                <w:highlight w:val="none"/>
                <w:lang w:val="en"/>
              </w:rPr>
              <w:t>226</w:t>
            </w:r>
            <w:r>
              <w:rPr>
                <w:rFonts w:hint="eastAsia" w:ascii="仿宋_GB2312" w:hAnsi="宋体" w:eastAsia="仿宋_GB2312" w:cs="宋体"/>
                <w:kern w:val="0"/>
                <w:szCs w:val="21"/>
                <w:highlight w:val="none"/>
                <w:lang w:val="en-US" w:eastAsia="zh-CN"/>
              </w:rPr>
              <w:t>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lang w:val="en-US" w:eastAsia="zh-CN"/>
              </w:rPr>
              <w:t>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67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光纤两端之间数据传输累计时延</w:t>
            </w:r>
          </w:p>
        </w:tc>
        <w:tc>
          <w:tcPr>
            <w:tcW w:w="849" w:type="dxa"/>
            <w:tcBorders>
              <w:top w:val="single" w:color="auto" w:sz="4" w:space="0"/>
              <w:left w:val="nil"/>
              <w:bottom w:val="single" w:color="auto" w:sz="4" w:space="0"/>
              <w:right w:val="single" w:color="auto" w:sz="4" w:space="0"/>
            </w:tcBorders>
            <w:vAlign w:val="center"/>
          </w:tcPr>
          <w:p>
            <w:pPr>
              <w:widowControl/>
              <w:tabs>
                <w:tab w:val="left" w:pos="309"/>
              </w:tabs>
              <w:spacing w:line="240" w:lineRule="exact"/>
              <w:jc w:val="left"/>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eastAsia="zh-CN"/>
              </w:rPr>
              <w:t>≤</w:t>
            </w:r>
            <w:r>
              <w:rPr>
                <w:rFonts w:hint="eastAsia" w:ascii="仿宋_GB2312" w:hAnsi="宋体" w:eastAsia="仿宋_GB2312" w:cs="宋体"/>
                <w:kern w:val="0"/>
                <w:szCs w:val="21"/>
                <w:highlight w:val="none"/>
                <w:lang w:val="en-US" w:eastAsia="zh-CN"/>
              </w:rPr>
              <w:t>200m/s</w:t>
            </w:r>
            <w:r>
              <w:rPr>
                <w:rFonts w:hint="eastAsia" w:ascii="仿宋_GB2312" w:hAnsi="宋体" w:eastAsia="仿宋_GB2312" w:cs="宋体"/>
                <w:kern w:val="0"/>
                <w:szCs w:val="21"/>
                <w:highlight w:val="none"/>
                <w:lang w:eastAsia="zh-CN"/>
              </w:rPr>
              <w:tab/>
            </w:r>
          </w:p>
        </w:tc>
        <w:tc>
          <w:tcPr>
            <w:tcW w:w="848" w:type="dxa"/>
            <w:tcBorders>
              <w:top w:val="single" w:color="auto" w:sz="4" w:space="0"/>
              <w:left w:val="nil"/>
              <w:bottom w:val="single" w:color="auto" w:sz="4" w:space="0"/>
              <w:right w:val="single" w:color="auto" w:sz="4" w:space="0"/>
            </w:tcBorders>
            <w:vAlign w:val="center"/>
          </w:tcPr>
          <w:p>
            <w:pPr>
              <w:widowControl/>
              <w:tabs>
                <w:tab w:val="left" w:pos="309"/>
              </w:tabs>
              <w:spacing w:line="240" w:lineRule="exact"/>
              <w:jc w:val="left"/>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lang w:eastAsia="zh-CN"/>
              </w:rPr>
              <w:t>≤</w:t>
            </w:r>
            <w:r>
              <w:rPr>
                <w:rFonts w:hint="eastAsia" w:ascii="仿宋_GB2312" w:hAnsi="宋体" w:eastAsia="仿宋_GB2312" w:cs="宋体"/>
                <w:kern w:val="0"/>
                <w:szCs w:val="21"/>
                <w:highlight w:val="none"/>
                <w:lang w:val="en-US" w:eastAsia="zh-CN"/>
              </w:rPr>
              <w:t>200m/s</w:t>
            </w:r>
            <w:r>
              <w:rPr>
                <w:rFonts w:hint="eastAsia" w:ascii="仿宋_GB2312" w:hAnsi="宋体" w:eastAsia="仿宋_GB2312" w:cs="宋体"/>
                <w:kern w:val="0"/>
                <w:szCs w:val="21"/>
                <w:highlight w:val="none"/>
                <w:lang w:eastAsia="zh-CN"/>
              </w:rPr>
              <w:tab/>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56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无线两端之间数据传输累计时延</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rPr>
              <w:t>≤</w:t>
            </w:r>
            <w:r>
              <w:rPr>
                <w:rFonts w:hint="eastAsia" w:ascii="仿宋_GB2312" w:hAnsi="宋体" w:eastAsia="仿宋_GB2312" w:cs="宋体"/>
                <w:kern w:val="0"/>
                <w:szCs w:val="21"/>
                <w:highlight w:val="none"/>
                <w:lang w:val="en-US" w:eastAsia="zh-CN"/>
              </w:rPr>
              <w:t>1秒</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rPr>
              <w:t>≤</w:t>
            </w:r>
            <w:r>
              <w:rPr>
                <w:rFonts w:hint="eastAsia" w:ascii="仿宋_GB2312" w:hAnsi="宋体" w:eastAsia="仿宋_GB2312" w:cs="宋体"/>
                <w:kern w:val="0"/>
                <w:szCs w:val="21"/>
                <w:highlight w:val="none"/>
                <w:lang w:val="en-US" w:eastAsia="zh-CN"/>
              </w:rPr>
              <w:t>1秒</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66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光纤专线两端之间数据传输累计时延</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both"/>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rPr>
              <w:t>≤</w:t>
            </w:r>
            <w:r>
              <w:rPr>
                <w:rFonts w:hint="eastAsia" w:ascii="仿宋_GB2312" w:hAnsi="宋体" w:eastAsia="仿宋_GB2312" w:cs="宋体"/>
                <w:kern w:val="0"/>
                <w:szCs w:val="21"/>
                <w:highlight w:val="none"/>
                <w:lang w:val="en-US" w:eastAsia="zh-CN"/>
              </w:rPr>
              <w:t>150m/s</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both"/>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Cs w:val="21"/>
                <w:highlight w:val="none"/>
              </w:rPr>
              <w:t>≤</w:t>
            </w:r>
            <w:r>
              <w:rPr>
                <w:rFonts w:hint="eastAsia" w:ascii="仿宋_GB2312" w:hAnsi="宋体" w:eastAsia="仿宋_GB2312" w:cs="宋体"/>
                <w:kern w:val="0"/>
                <w:szCs w:val="21"/>
                <w:highlight w:val="none"/>
                <w:lang w:val="en-US" w:eastAsia="zh-CN"/>
              </w:rPr>
              <w:t>150m/s</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223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光纤专线信道</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2023年5月完成合同签订，2023年6月完成信道开通</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2023年5月完成合同签订，2023年6月完成信道开通</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4.2</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226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无线信道</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2023年5月完成合同签订，2023年6月完成信道开通</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2023年5月完成合同签订，2023年6月完成信道开通</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4.2</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5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效益指标（30分）</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经济效益</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项目总成本</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≤168.23</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167.1</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rPr>
            </w:pPr>
            <w:r>
              <w:rPr>
                <w:rFonts w:hint="eastAsia" w:ascii="仿宋_GB2312" w:hAnsi="宋体" w:eastAsia="仿宋_GB2312" w:cs="宋体"/>
                <w:kern w:val="0"/>
                <w:szCs w:val="21"/>
                <w:highlight w:val="none"/>
                <w:lang w:val="en-US" w:eastAsia="zh-CN"/>
              </w:rPr>
              <w:t>10</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42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社会效益</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highlight w:val="none"/>
                <w:lang w:eastAsia="zh-CN"/>
              </w:rPr>
            </w:pPr>
            <w:r>
              <w:rPr>
                <w:rFonts w:hint="eastAsia" w:ascii="仿宋_GB2312" w:hAnsi="宋体" w:eastAsia="仿宋_GB2312" w:cs="宋体"/>
                <w:color w:val="000000"/>
                <w:kern w:val="0"/>
                <w:szCs w:val="21"/>
                <w:highlight w:val="none"/>
              </w:rPr>
              <w:t>为北京地区地震监测、地震信息服务及地震应急指挥等业务提供可靠光纤专线信道和卫星信道，促进北京地区防震减灾能力提升</w:t>
            </w:r>
            <w:r>
              <w:rPr>
                <w:rFonts w:hint="eastAsia" w:ascii="仿宋_GB2312" w:hAnsi="宋体" w:eastAsia="仿宋_GB2312" w:cs="宋体"/>
                <w:color w:val="000000"/>
                <w:kern w:val="0"/>
                <w:szCs w:val="21"/>
                <w:highlight w:val="none"/>
                <w:lang w:eastAsia="zh-CN"/>
              </w:rPr>
              <w:t>。</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eastAsia="zh-CN"/>
              </w:rPr>
            </w:pPr>
            <w:r>
              <w:rPr>
                <w:rFonts w:hint="eastAsia" w:ascii="仿宋_GB2312" w:hAnsi="宋体" w:eastAsia="仿宋_GB2312" w:cs="宋体"/>
                <w:kern w:val="0"/>
                <w:szCs w:val="21"/>
                <w:highlight w:val="none"/>
                <w:lang w:eastAsia="zh-CN"/>
              </w:rPr>
              <w:t>优</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eastAsia="zh-CN"/>
              </w:rPr>
            </w:pPr>
            <w:r>
              <w:rPr>
                <w:rFonts w:hint="eastAsia" w:ascii="仿宋_GB2312" w:hAnsi="宋体" w:eastAsia="仿宋_GB2312" w:cs="宋体"/>
                <w:kern w:val="0"/>
                <w:szCs w:val="21"/>
                <w:highlight w:val="none"/>
                <w:lang w:eastAsia="zh-CN"/>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20</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16</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 w:val="15"/>
                <w:szCs w:val="15"/>
                <w:highlight w:val="none"/>
              </w:rPr>
              <w:t>2023年4月13日因中国电信物联网平台整体升级，造成23个物联网卡在凌晨3点至早9点期间出现传输中断故障。 加强与运营服务商的沟通，及时掌握运营商平台升级等相关信息，提前做好技术支持，降低对业务 使用的影响</w:t>
            </w:r>
          </w:p>
        </w:tc>
      </w:tr>
      <w:tr>
        <w:tblPrEx>
          <w:tblCellMar>
            <w:top w:w="0" w:type="dxa"/>
            <w:left w:w="108" w:type="dxa"/>
            <w:bottom w:w="0" w:type="dxa"/>
            <w:right w:w="108" w:type="dxa"/>
          </w:tblCellMar>
        </w:tblPrEx>
        <w:trPr>
          <w:trHeight w:val="102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满意度</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指标（1</w:t>
            </w:r>
            <w:r>
              <w:rPr>
                <w:rFonts w:ascii="仿宋_GB2312" w:hAnsi="宋体" w:eastAsia="仿宋_GB2312" w:cs="宋体"/>
                <w:kern w:val="0"/>
                <w:szCs w:val="21"/>
                <w:highlight w:val="none"/>
              </w:rPr>
              <w:t>0</w:t>
            </w:r>
            <w:r>
              <w:rPr>
                <w:rFonts w:hint="eastAsia" w:ascii="仿宋_GB2312" w:hAnsi="宋体" w:eastAsia="仿宋_GB2312" w:cs="宋体"/>
                <w:kern w:val="0"/>
                <w:szCs w:val="21"/>
                <w:highlight w:val="none"/>
              </w:rPr>
              <w:t>分）</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使用单位满意度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rPr>
              <w:t>＞</w:t>
            </w:r>
            <w:r>
              <w:rPr>
                <w:rFonts w:hint="eastAsia" w:ascii="仿宋_GB2312" w:hAnsi="宋体" w:eastAsia="仿宋_GB2312" w:cs="宋体"/>
                <w:kern w:val="0"/>
                <w:szCs w:val="21"/>
                <w:highlight w:val="none"/>
                <w:lang w:val="en-US" w:eastAsia="zh-CN"/>
              </w:rPr>
              <w:t>90%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r>
              <w:rPr>
                <w:rFonts w:hint="eastAsia" w:ascii="仿宋_GB2312" w:hAnsi="宋体" w:eastAsia="仿宋_GB2312" w:cs="宋体"/>
                <w:kern w:val="0"/>
                <w:szCs w:val="21"/>
                <w:highlight w:val="none"/>
                <w:lang w:val="en-US" w:eastAsia="zh-CN"/>
              </w:rPr>
              <w:t>90%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Cs w:val="21"/>
                <w:highlight w:val="none"/>
                <w:lang w:val="en-US" w:eastAsia="zh-CN"/>
              </w:rPr>
            </w:pPr>
            <w:r>
              <w:rPr>
                <w:rFonts w:hint="eastAsia" w:ascii="仿宋_GB2312" w:hAnsi="宋体" w:eastAsia="仿宋_GB2312" w:cs="宋体"/>
                <w:color w:val="000000"/>
                <w:kern w:val="0"/>
                <w:szCs w:val="21"/>
                <w:highlight w:val="none"/>
                <w:lang w:val="en-US" w:eastAsia="zh-CN"/>
              </w:rPr>
              <w:t>100</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Cs w:val="21"/>
                <w:highlight w:val="none"/>
                <w:lang w:val="en-US" w:eastAsia="zh-CN"/>
              </w:rPr>
            </w:pPr>
            <w:r>
              <w:rPr>
                <w:rFonts w:hint="eastAsia" w:ascii="仿宋_GB2312" w:hAnsi="宋体" w:eastAsia="仿宋_GB2312" w:cs="宋体"/>
                <w:color w:val="000000"/>
                <w:kern w:val="0"/>
                <w:szCs w:val="21"/>
                <w:highlight w:val="none"/>
                <w:lang w:val="en-US" w:eastAsia="zh-CN"/>
              </w:rPr>
              <w:t>94.4</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pacing w:line="520" w:lineRule="exact"/>
      </w:pPr>
      <w:r>
        <w:rPr>
          <w:rFonts w:hint="eastAsia" w:ascii="方正小标宋简体" w:eastAsia="方正小标宋简体"/>
          <w:sz w:val="36"/>
          <w:szCs w:val="36"/>
        </w:rPr>
        <w:t xml:space="preserve"> </w:t>
      </w:r>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kNTA1ODJlNDZlZmFmY2RjYWExMjlhZTI4YjYwZWUifQ=="/>
    <w:docVar w:name="KSO_WPS_MARK_KEY" w:val="1e7e54ad-47e4-4889-9c08-98fe0d798593"/>
  </w:docVars>
  <w:rsids>
    <w:rsidRoot w:val="F77F09F4"/>
    <w:rsid w:val="000F11BD"/>
    <w:rsid w:val="00377EB9"/>
    <w:rsid w:val="004D5957"/>
    <w:rsid w:val="00A23C98"/>
    <w:rsid w:val="00DD53FE"/>
    <w:rsid w:val="00E26DAB"/>
    <w:rsid w:val="03B57179"/>
    <w:rsid w:val="06D54527"/>
    <w:rsid w:val="09AB5D03"/>
    <w:rsid w:val="0B71578E"/>
    <w:rsid w:val="0D947F98"/>
    <w:rsid w:val="140C70D4"/>
    <w:rsid w:val="19E00326"/>
    <w:rsid w:val="22547340"/>
    <w:rsid w:val="37173543"/>
    <w:rsid w:val="3FF76880"/>
    <w:rsid w:val="485163BD"/>
    <w:rsid w:val="4E736404"/>
    <w:rsid w:val="55C1367A"/>
    <w:rsid w:val="56F02C50"/>
    <w:rsid w:val="5BFA228B"/>
    <w:rsid w:val="74FBBB43"/>
    <w:rsid w:val="7AB7FF50"/>
    <w:rsid w:val="7BFEB0DB"/>
    <w:rsid w:val="7F9FEC83"/>
    <w:rsid w:val="98F77C12"/>
    <w:rsid w:val="AFEAC9AF"/>
    <w:rsid w:val="B37F0547"/>
    <w:rsid w:val="CEFD3F3D"/>
    <w:rsid w:val="EA3F77F2"/>
    <w:rsid w:val="EEFE5989"/>
    <w:rsid w:val="EFCF3EAE"/>
    <w:rsid w:val="F5B764A2"/>
    <w:rsid w:val="F77F09F4"/>
    <w:rsid w:val="F9275F90"/>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Ty</Company>
  <Pages>2</Pages>
  <Words>712</Words>
  <Characters>874</Characters>
  <Lines>7</Lines>
  <Paragraphs>2</Paragraphs>
  <TotalTime>0</TotalTime>
  <ScaleCrop>false</ScaleCrop>
  <LinksUpToDate>false</LinksUpToDate>
  <CharactersWithSpaces>910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abc</cp:lastModifiedBy>
  <dcterms:modified xsi:type="dcterms:W3CDTF">2024-05-17T09:08:21Z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06D54EF9FA154B80A7FE39EE6A826783_12</vt:lpwstr>
  </property>
</Properties>
</file>